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24 119 vom 13. November 2025</w:t>
      </w:r>
    </w:p>
    <w:p>
      <w:r>
        <w:t>VS Kantonsgericht, 2025-11-13, FR</w:t>
      </w:r>
    </w:p>
    <w:p>
      <w:r>
        <w:rPr>
          <w:b/>
        </w:rPr>
        <w:t xml:space="preserve">Quelle: </w:t>
      </w:r>
      <w:r>
        <w:t>https://mcp.opencaselaw.ch/entscheid/vs_gerichte_P1 24 119</w:t>
      </w:r>
    </w:p>
    <w:p>
      <w:r>
        <w:t>FR: VS_GERICHTE P1 24 119 du 13 novembre 2025</w:t>
      </w:r>
    </w:p>
    <w:p>
      <w:r>
        <w:t>IT: VS_GERICHTE P1 24 119 del 13 novembre 2025</w:t>
      </w:r>
    </w:p>
    <w:p>
      <w:pPr>
        <w:pStyle w:val="Heading2"/>
      </w:pPr>
      <w:r>
        <w:t>Erwägungen</w:t>
      </w:r>
    </w:p>
    <w:p>
      <w:r>
        <w:rPr>
          <w:b/>
        </w:rPr>
        <w:t>E. 9.1</w:t>
      </w:r>
    </w:p>
    <w:p>
      <w:r>
        <w:t>En droit, il est renvoyé aux considérants 8.1 à 8.3 du jugement de première instance en ce qui concerne les conditions d’application de l’art. 91a al. 1 LCR.</w:t>
      </w:r>
    </w:p>
    <w:p>
      <w:r>
        <w:rPr>
          <w:b/>
        </w:rPr>
        <w:t>E. 9.2</w:t>
      </w:r>
    </w:p>
    <w:p>
      <w:r>
        <w:t>Il a été retenu en fait que le prévenu venait de circuler au volant du véhicule A _________ au moment où il a été appréhendé. Le sergent G _________ de la police cantonale, qui en avait la compétence (art. 198 al. 1 let. c CPP, 251a CPP et 4 LACPP), a ordonné une mesure de l’alcoolémie au moyen d’un éthylomètre ou d’une prise de sang. Au vu des résultats des tests préliminaires révélés par l’alcootest, une telle mesure était fondée (art. 19 al. 5 et 12 al. 1 let. a et c OCCR). Nonobstant, le prévenu a refusé de s’y soumettre. Sur le plan subjectif, le prévenu était parfaitement conscient que son état justifiait de telles mesures d’investigation. Il a reconnu qu’il avait passablement bu de l’alcool ce soir-là et connaissait les résultats de l’éthylotest. Partant, c’est volontairement qu’il s’est soustrait à une mesure fiable de son taux d’alcoolémie dans le but d’échapper à une sanction administrative et pénale. Dans le même dessein, il a d’ailleurs menti, contestant avoir été vu par la police au volant de son véhicule et affirmant ne pas avoir gardé le souvenir de ses déplacements. Partant, sa condamnation au titre de l’infraction de l’art. 91a LCR doit être confirmée.</w:t>
      </w:r>
    </w:p>
    <w:p>
      <w:r>
        <w:rPr>
          <w:b/>
        </w:rPr>
        <w:t>E. 10.1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- 9 -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149 IV 217 consid. 1.1; arrêts 7B_216/2022 du 1er avril 2025 consid. 2.1 ; 6B_369/2024 du 3 février 2025 consid. 3.1.1).</w:t>
      </w:r>
    </w:p>
    <w:p>
      <w:r>
        <w:rPr>
          <w:b/>
        </w:rPr>
        <w:t>E. 10.2</w:t>
      </w:r>
    </w:p>
    <w:p>
      <w:r>
        <w:t>En l’espèce, le prévenu est sanctionné pour la troisième fois en 7 ans en lien avec la problématique de l’incapacité de conduite. Trois ans avant les faits, il a fait l’objet d’une condamnation pénale pour la même infraction que celle faisant l’objet du présent jugement. Ni le retrait de son permis, ni la peine pécuniaire et l’amende infligées par l’autorité pénale n’ont eu d’effet dissuasif. Le délai du sursis assortissant la peine prononcée le 27 février 2020 à peine échu, il a récidivé. Ces antécédents de même nature font douter d’une prise de conscience. Ces doutes sont encore renforcés par l’absence totale de signe de repentir manifesté durant la procédure. Malgré l’évidence, il a nié les faits avec une mauvaise foi crasse et critiqué les investigations menées. Il n’a pas accepté le retrait à titre préventif de son retrait de permis, consentant à dépenser des frais importants d’avocat et de procédure pour contester sans succès cette mesure. D’une manière générale, il ne s’est pas montré collaborant. Il a notamment prétendu ne pas comprendre le formulaire des droits du prévenu (p. 5) que les agents municipaux lui ont pourtant expliqué ligne par ligne (p. 9). A juste titre, le juge de district a constaté une violation du principe de célérité durant l’instruction, justifiant une réduction de peine. Celle-ci s’est encore aggravée durant la procédure d’appel, le présent jugement intervenant quelque 14 mois après la déclaration d’appel. En définitive, au vu l’ensemble des circonstances, la peine de 45 jours-amende et de 500 fr. d’amende paraît adaptée à la culpabilité du prévenu et peut être confirmée, même en tenant compte de l’aggravation de la violation du principe de célérité en seconde instance.</w:t>
      </w:r>
    </w:p>
    <w:p>
      <w:r>
        <w:t>- 10 - En l’absence de modification de la situation financière du prévenu, le montant unitaire du jour-amende est confirmé.</w:t>
      </w:r>
    </w:p>
    <w:p>
      <w:r>
        <w:rPr>
          <w:b/>
        </w:rPr>
        <w:t>E. 11</w:t>
      </w:r>
    </w:p>
    <w:p>
      <w:r>
        <w:t>En vertu de l’interdiction de la reformatio in pejus, le principe de l’octroi du sursis est acquis. Au vu des antécédents du prévenu et de son absence de prise de conscience, la durée du délai d’épreuve fixée par le premier juge à 4 ans est pleinement justifiée.</w:t>
      </w:r>
    </w:p>
    <w:p>
      <w:r>
        <w:rPr>
          <w:b/>
        </w:rPr>
        <w:t>E. 12</w:t>
      </w:r>
    </w:p>
    <w:p>
      <w:r>
        <w:t>12.1.1 Si l'autorité de recours rend elle-même une nouvelle décision, en cas d'admission de l'appel du prévenu par exemple, elle se prononce également sur les frais fixés par l'autorité inférieure (art. 428 al. 3 CPP). Sauf dispositions contraires, les frais de procédure - composés des émoluments et des débours (art. 422 CPP) - sont mis à la charge de la Confédération ou du canton qui a conduit la procédure (art. 423 CPP). Le prévenu supporte les frais de procédure s’il est condamné. Font exception les frais afférents à la défense d’office; l’art. 135, al. 4, est réservé (art. 426 al. 1 CPP). 12.1.2 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 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w:t>
      </w:r>
    </w:p>
    <w:p>
      <w:r>
        <w:t>- 11 - la charge du prévenu en cas d'acquittement ou de classement de la procédure doit en effet rester l'exception (ATF 144 IV 202 consid. 2.2 et les arrêts cités ; arrêt 7B_343/2024 du 22 janvier 2025 consid. 3.1). 12.1.3 En vertu de l'article 429 al. 1 let. a CPP, le prévenu acquitté a droit à une indemnité pour les dépenses occasionnées par l'exercice raisonnable de ses droits de procédure. L'autorité pénale examine d'office les prétentions du prévenu et peut enjoindre à celui-ci de les chiffrer et de les justifier (art. 429 al. 2 CPP).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(arrêts 7B_35/2022 du 22 février 2024 consid. 4.2; 6B_806/2019 du 9 octobre 2019 consid. 2; 6B_565/2019 du 12 juin 2019 consid. 5.1).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147 IV 47 consid. 4.1; 144 IV 207 consid. 1.8.2; 137 IV 352 consid. 2.4.2 ; arrêt 7B_343/2024 du 22 janvier 2025 consid. 3.2). 12.1.4 En l’espèce, l’appelant critique le sort réservé dans le jugement de première instance aux frais de procédure, intégralement mis à sa charge nonobstant sa libération du chef d’accusation de l’art. 91 al. 1 let. a LCR. Malgré l’absence de toute mesure fiable du taux d’alcoolémie, il existait des éléments fondant le soupçon que le prévenu avait conduit son véhicule en état d’ébriété. Les policiers ont observé que l’appelant roulait à vive allure et titubait fortement en sortant de son véhicule. Il a manifesté des intentions suicidaires sans lien avec les circonstances qui ont conduit à son hospitalisation. Il a été soumis à deux reprises à l’éthylotest qui a révélé des taux largement supérieurs à 0,25 mg/l ou 05 mg/kg (sur la valeur d’indice d’un éthylotest, cf. arrêt 7B_741/2023 du 24 mai 2024 consid. 6.4.1). Le sergent G _________ a observé que l’appelant avait les yeux injectés de sang, que son haleine sentait l’alcool et qu’il avait un comportement oppositiononel et agité (p. 4 ; p. 91). Le prévenu n’a jamais contesté être en état d’ébriété, mais uniquement avoir conduit sous l’emprise de l’alcool. Lors des débats de première instance, il a d’ailleurs admis qu’il était « passablement sous l’effet de l’alcool » (p. 179, rép. 5 ; cf. aussi débats d’appel, rép. 1). Devant le</w:t>
      </w:r>
    </w:p>
    <w:p>
      <w:r>
        <w:t>- 12 - Ministère public et le juge de district, il a même prétendu qu’en raison de son état, il n’avait gardé aucun souvenir de sa nuit, ce qui laissait présumer une forte alcoolisation. Il est rappelé que l’ébriété peut être constatée par tout moyen de preuve, peu importe que les examens prescrits à cet effet n'aient pas été effectués ou ne l'aient été qu'imparfaitement (art. 5 al. 4 2ème phrase LCR et 17 OCCR ; arrêt 6B_159/2025 du 4 août 2025 consid. 2.2). Or, dans le cas présent, l’ensemble des éléments précités justifait pleinement l’ouverture d’une procédure non seulement au titre de l’art. 91a al. 1 LCR, mais également de l’art. 91 al. 1 let. a LCR. Elle résultait du comportement illicite du prévenu. En effet, si celui-ci s’était conformé à son obligation de se soumettre aux mesures de constatation de sa capacité de conduire et que le résultat de l’éthylomètre avait affiché un taux inférieur à 0,5 mg/kg, le Ministère public n’aurait pas soutenu l’accusation de conduite en état d’ébriété. Partant, les conditions de l’art. 426 al. 2 CPP sont réalisées et c’est à juste titre que le juge de première instance a mis l’intégralité des frais d’instruction et de première instance à la charge du prévenu. Pour les mêmes raisons, tant ses prétentions en indemnisation au titre de l’art. 429 al. 1 let. a CPP que celles tendant à la réparation de son prétendu tort moral (art. 429 al. 1 let. c CPP) sont rejetées (art. 430 al. 1 let. a CPP). En tout état de cause, les inconvénients dont il se prévaut consécutifs au retrait préventif de permis sont sans lien avec la procédure pénale, mais résultent de la procédure administrative.</w:t>
      </w:r>
    </w:p>
    <w:p>
      <w:r>
        <w:rPr>
          <w:b/>
        </w:rPr>
        <w:t>E. 12.2</w:t>
      </w:r>
    </w:p>
    <w:p>
      <w:r>
        <w:t>Selon l'article 428 al. 1 CPP, les frais de la procédure de recours sont mis à la charge des parties dans la mesure où elles ont obtenu gain de cause ou succombé. Pour déterminer si une partie succombe ou obtient gain de cause, il faut examiner dans quelle mesure ses conclusions sont admises (arrêts 6B_369/2018 du 7 février 2019 consid. 4.1, non publié aux ATF 145 IV 90; 6B_1046/2013 du 14 mai 2014 consid. 3.3; DOMEISEN, Commentaire bâlois, 2014, n. 6 ad art. 428 CPP). Vu le sort réservé à son appel, les frais de seconde instance sont également mis à la charge du prévenu, entièrement débouté (art. 428 al. 1 CPP), qui supporte ses propres dépens. En vertu de l’article 22 LTar, l'émolument est compris entre 380 fr. et 6000 fr. pour la procédure d'appel devant le Tribunal cantonal (cf. let. f). Vu la simplicité de la cause ainsi que les principes de la couverture des frais et de l'équivalence des prestations, les frais d’appel sont arrêtés à 500 fr. (émolument et débours compris).</w:t>
      </w:r>
    </w:p>
    <w:p>
      <w:r>
        <w:t>- 13 - Prononce</w:t>
      </w:r>
    </w:p>
    <w:p>
      <w:r>
        <w:t>L’appel de X __________ contre le jugement du Tribunal K _________ du 3 septembre 2024 est rejeté. En conséquence, il est statué, comme suit : 1. Il est constaté une violation du principe de célérité (art. 5 CPP).</w:t>
      </w:r>
    </w:p>
    <w:p>
      <w:r>
        <w:t>2. X __________ est acquitté du chef d’inculpation de conduite en état d’ébriété au sens de l’art. 91 al. 1 let. a LCR.</w:t>
      </w:r>
    </w:p>
    <w:p>
      <w:r>
        <w:t>3. X __________, reconnu coupable d’entrave aux mesures de constatation de l’incapacité de conduire (art. 91a al. 1 LCR), est condamné à une peine de 45 jours- amende, le montant du jour-amende étant fixé à 40 fr., ainsi qu’à une amende de 500 francs.</w:t>
      </w:r>
    </w:p>
    <w:p>
      <w:r>
        <w:t>4. En cas de non-paiement fautif de l’amende, la peine privative de liberté de substitution sera de 5 jours (art. 106 al. 2 CP).</w:t>
      </w:r>
    </w:p>
    <w:p>
      <w:r>
        <w:t>5. X __________ est mis au bénéfice du sursis à l’exécution de la peine avec un délai d’épreuve de 4 ans (art. 42 al. 1 CP).</w:t>
      </w:r>
    </w:p>
    <w:p>
      <w:r>
        <w:t>6. Il est signifié à X __________ (art. 44 al. 3 CP) qu’il n’aura pas à exécuter ladite peine s’il subit la mise à l’épreuve avec succès (art. 45 CP). Le sursis pourra, en revanche, être révoqué s’il commet un crime ou un délit durant le délai d’épreuve et que son comportement dénote un risque de le voir perpétrer de nouvelles infractions (art. 46 al. 1 CP).</w:t>
      </w:r>
    </w:p>
    <w:p>
      <w:r>
        <w:t>5. Les frais de première instance, arrêtés à 1100 fr. (frais d’instruction : 500 fr. ; frais du Tribunal de district : 600 fr.), ainsi que les frais de seconde instance, arrêtés à 500 fr., sont mis à la charge de X __________.</w:t>
      </w:r>
    </w:p>
    <w:p>
      <w:r>
        <w:t>6. X __________ supporte ses propres frais d’intervention.</w:t>
      </w:r>
    </w:p>
    <w:p>
      <w:r>
        <w:t>Sion, le 13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